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 clinical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and their directionality.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Notably, the median age at HCM diagnosis was markedly higher in non-</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vs </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HCM (median age 49.6</w:t>
      </w:r>
      <w:r w:rsidR="00556B72" w:rsidRPr="00DB6D77">
        <w:rPr>
          <w:rFonts w:ascii="Roboto" w:hAnsi="Roboto"/>
          <w:sz w:val="22"/>
          <w:szCs w:val="22"/>
        </w:rPr>
        <w:t xml:space="preserve"> vs</w:t>
      </w:r>
      <w:r w:rsidR="00556B72">
        <w:rPr>
          <w:rFonts w:ascii="Roboto" w:hAnsi="Roboto"/>
          <w:sz w:val="22"/>
          <w:szCs w:val="22"/>
        </w:rPr>
        <w:t xml:space="preserve"> </w:t>
      </w:r>
      <w:r w:rsidR="00556B72" w:rsidRPr="00DB6D77">
        <w:rPr>
          <w:rFonts w:ascii="Roboto" w:hAnsi="Roboto"/>
          <w:sz w:val="22"/>
          <w:szCs w:val="22"/>
        </w:rPr>
        <w:t>36.7</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580470" w:rsidRPr="00DB6D77" w:rsidRDefault="00CA4002" w:rsidP="001D711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p>
    <w:p w:rsidR="001B3DE8" w:rsidRDefault="001B3DE8" w:rsidP="00BF182A">
      <w:pPr>
        <w:spacing w:line="480" w:lineRule="auto"/>
        <w:rPr>
          <w:rFonts w:ascii="Roboto" w:hAnsi="Roboto"/>
          <w:b/>
          <w:bCs/>
          <w:sz w:val="22"/>
          <w:szCs w:val="22"/>
        </w:rPr>
      </w:pP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lastRenderedPageBreak/>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580470" w:rsidRPr="00DB6D77">
        <w:rPr>
          <w:rFonts w:ascii="Roboto" w:hAnsi="Roboto"/>
          <w:sz w:val="22"/>
          <w:szCs w:val="22"/>
        </w:rPr>
        <w:t xml:space="preserve"> and</w:t>
      </w:r>
      <w:r w:rsidR="00BF182A" w:rsidRPr="00DB6D77">
        <w:rPr>
          <w:rFonts w:ascii="Roboto" w:hAnsi="Roboto"/>
          <w:sz w:val="22"/>
          <w:szCs w:val="22"/>
        </w:rPr>
        <w:t xml:space="preserve"> atrial fibrillation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w:t>
      </w:r>
      <w:r w:rsidRPr="00DB6D77">
        <w:rPr>
          <w:rFonts w:ascii="Roboto" w:hAnsi="Roboto"/>
          <w:sz w:val="22"/>
          <w:szCs w:val="22"/>
        </w:rPr>
        <w:lastRenderedPageBreak/>
        <w:t xml:space="preserve">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 (hypertension,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occurrence and timing of these </w:t>
      </w:r>
      <w:r w:rsidR="00D5141C">
        <w:rPr>
          <w:rFonts w:ascii="Roboto" w:hAnsi="Roboto"/>
          <w:sz w:val="22"/>
          <w:szCs w:val="22"/>
        </w:rPr>
        <w:t>features</w:t>
      </w:r>
      <w:r w:rsidR="00DB6D77" w:rsidRPr="00DB6D77">
        <w:rPr>
          <w:rFonts w:ascii="Roboto" w:hAnsi="Roboto"/>
          <w:sz w:val="22"/>
          <w:szCs w:val="22"/>
        </w:rPr>
        <w:t xml:space="preserve"> relative to </w:t>
      </w:r>
      <w:r>
        <w:rPr>
          <w:rFonts w:ascii="Roboto" w:hAnsi="Roboto"/>
          <w:sz w:val="22"/>
          <w:szCs w:val="22"/>
        </w:rPr>
        <w:t>the occurrence of other</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(rank) </w:t>
      </w:r>
      <w:r w:rsidR="00F15144">
        <w:rPr>
          <w:rFonts w:ascii="Roboto" w:hAnsi="Roboto"/>
          <w:sz w:val="22"/>
          <w:szCs w:val="22"/>
        </w:rPr>
        <w:t>if</w:t>
      </w:r>
      <w:r w:rsidR="00DB6D77" w:rsidRPr="00DB6D77">
        <w:rPr>
          <w:rFonts w:ascii="Roboto" w:hAnsi="Roboto"/>
          <w:sz w:val="22"/>
          <w:szCs w:val="22"/>
        </w:rPr>
        <w:t xml:space="preserve"> patient</w:t>
      </w:r>
      <w:r>
        <w:rPr>
          <w:rFonts w:ascii="Roboto" w:hAnsi="Roboto"/>
          <w:sz w:val="22"/>
          <w:szCs w:val="22"/>
        </w:rPr>
        <w:t xml:space="preserve">s had multiple </w:t>
      </w:r>
      <w:r w:rsidR="00D5141C">
        <w:rPr>
          <w:rFonts w:ascii="Roboto" w:hAnsi="Roboto"/>
          <w:sz w:val="22"/>
          <w:szCs w:val="22"/>
        </w:rPr>
        <w:t>features</w:t>
      </w:r>
      <w:r w:rsidR="00DB6D77" w:rsidRPr="00DB6D77">
        <w:rPr>
          <w:rFonts w:ascii="Roboto" w:hAnsi="Roboto"/>
          <w:sz w:val="22"/>
          <w:szCs w:val="22"/>
        </w:rPr>
        <w:t xml:space="preserve">.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had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at least six </w:t>
      </w:r>
      <w:r w:rsidR="00D5141C">
        <w:rPr>
          <w:rFonts w:ascii="Roboto" w:hAnsi="Roboto"/>
          <w:sz w:val="22"/>
          <w:szCs w:val="22"/>
        </w:rPr>
        <w:t>features</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each of these 12 features,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(set to 0 if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atrial fibrillation, ventricular tachycardias</w:t>
      </w:r>
      <w:r w:rsidR="00BE2D5C">
        <w:rPr>
          <w:rFonts w:ascii="Roboto" w:hAnsi="Roboto"/>
          <w:sz w:val="22"/>
          <w:szCs w:val="22"/>
        </w:rPr>
        <w:t>, LV systolic dysfunction and cardiac transplantation to be more common occurrences during</w:t>
      </w:r>
      <w:r w:rsidR="0018036F">
        <w:rPr>
          <w:rFonts w:ascii="Roboto" w:hAnsi="Roboto"/>
          <w:sz w:val="22"/>
          <w:szCs w:val="22"/>
        </w:rPr>
        <w:t xml:space="preserve"> long-term</w:t>
      </w:r>
      <w:r w:rsidR="00BE2D5C">
        <w:rPr>
          <w:rFonts w:ascii="Roboto" w:hAnsi="Roboto"/>
          <w:sz w:val="22"/>
          <w:szCs w:val="22"/>
        </w:rPr>
        <w:t xml:space="preserve"> follow-up in patients with </w:t>
      </w:r>
      <w:proofErr w:type="spellStart"/>
      <w:r w:rsidR="00BE2D5C">
        <w:rPr>
          <w:rFonts w:ascii="Roboto" w:hAnsi="Roboto"/>
          <w:sz w:val="22"/>
          <w:szCs w:val="22"/>
        </w:rPr>
        <w:t>sarcomeric</w:t>
      </w:r>
      <w:proofErr w:type="spellEnd"/>
      <w:r w:rsidR="00BE2D5C">
        <w:rPr>
          <w:rFonts w:ascii="Roboto" w:hAnsi="Roboto"/>
          <w:sz w:val="22"/>
          <w:szCs w:val="22"/>
        </w:rPr>
        <w:t xml:space="preserve"> HCM when compared to patients with non-</w:t>
      </w:r>
      <w:proofErr w:type="spellStart"/>
      <w:r w:rsidR="00BE2D5C">
        <w:rPr>
          <w:rFonts w:ascii="Roboto" w:hAnsi="Roboto"/>
          <w:sz w:val="22"/>
          <w:szCs w:val="22"/>
        </w:rPr>
        <w:t>sarcomeric</w:t>
      </w:r>
      <w:proofErr w:type="spellEnd"/>
      <w:r w:rsidR="00BE2D5C">
        <w:rPr>
          <w:rFonts w:ascii="Roboto" w:hAnsi="Roboto"/>
          <w:sz w:val="22"/>
          <w:szCs w:val="22"/>
        </w:rPr>
        <w:t xml:space="preserve"> HCM (</w:t>
      </w:r>
      <w:r w:rsidR="00BE2D5C">
        <w:rPr>
          <w:rFonts w:ascii="Roboto" w:hAnsi="Roboto"/>
          <w:b/>
          <w:bCs/>
          <w:sz w:val="22"/>
          <w:szCs w:val="22"/>
        </w:rPr>
        <w:t>Supplementary F</w:t>
      </w:r>
      <w:r w:rsidR="00BE2D5C" w:rsidRPr="00DB6D77">
        <w:rPr>
          <w:rFonts w:ascii="Roboto" w:hAnsi="Roboto"/>
          <w:b/>
          <w:bCs/>
          <w:sz w:val="22"/>
          <w:szCs w:val="22"/>
        </w:rPr>
        <w:t xml:space="preserve">igure </w:t>
      </w:r>
      <w:r w:rsidR="00BE2D5C">
        <w:rPr>
          <w:rFonts w:ascii="Roboto" w:hAnsi="Roboto"/>
          <w:b/>
          <w:bCs/>
          <w:sz w:val="22"/>
          <w:szCs w:val="22"/>
        </w:rPr>
        <w:t>3</w:t>
      </w:r>
      <w:r w:rsidR="0018036F">
        <w:rPr>
          <w:rFonts w:ascii="Roboto" w:hAnsi="Roboto"/>
          <w:sz w:val="22"/>
          <w:szCs w:val="22"/>
        </w:rPr>
        <w:t>, visualizes the relative difference</w:t>
      </w:r>
      <w:r w:rsidR="00BE445B">
        <w:rPr>
          <w:rFonts w:ascii="Roboto" w:hAnsi="Roboto"/>
          <w:sz w:val="22"/>
          <w:szCs w:val="22"/>
        </w:rPr>
        <w:t xml:space="preserve"> between groups</w:t>
      </w:r>
      <w:r w:rsidR="00BE2D5C">
        <w:rPr>
          <w:rFonts w:ascii="Roboto" w:hAnsi="Roboto"/>
          <w:sz w:val="22"/>
          <w:szCs w:val="22"/>
        </w:rPr>
        <w:t>).</w:t>
      </w:r>
    </w:p>
    <w:p w:rsidR="00D5141C" w:rsidRDefault="00D5141C" w:rsidP="00DB6D77">
      <w:pPr>
        <w:spacing w:line="480" w:lineRule="auto"/>
        <w:rPr>
          <w:rFonts w:ascii="Roboto" w:hAnsi="Roboto"/>
          <w:sz w:val="22"/>
          <w:szCs w:val="22"/>
        </w:rPr>
      </w:pPr>
    </w:p>
    <w:p w:rsidR="00D5141C" w:rsidRDefault="00D5141C"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lastRenderedPageBreak/>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w:t>
      </w:r>
      <w:r w:rsidR="00FB109B">
        <w:rPr>
          <w:rFonts w:ascii="Roboto" w:hAnsi="Roboto"/>
          <w:sz w:val="22"/>
          <w:szCs w:val="22"/>
        </w:rPr>
        <w:lastRenderedPageBreak/>
        <w:t xml:space="preserve">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 xml:space="preserve">the mean age being between the ages of 38 and 50 for the occurrence of </w:t>
      </w:r>
      <w:r w:rsidR="00B826BA">
        <w:rPr>
          <w:rFonts w:ascii="Roboto" w:hAnsi="Roboto"/>
          <w:sz w:val="22"/>
          <w:szCs w:val="22"/>
        </w:rPr>
        <w:t xml:space="preserve">9 of </w:t>
      </w:r>
      <w:r w:rsidR="00B826BA">
        <w:rPr>
          <w:rFonts w:ascii="Roboto" w:hAnsi="Roboto"/>
          <w:sz w:val="22"/>
          <w:szCs w:val="22"/>
        </w:rPr>
        <w:t xml:space="preserve">the </w:t>
      </w:r>
      <w:r w:rsidR="00B826BA">
        <w:rPr>
          <w:rFonts w:ascii="Roboto" w:hAnsi="Roboto"/>
          <w:sz w:val="22"/>
          <w:szCs w:val="22"/>
        </w:rPr>
        <w:t>10</w:t>
      </w:r>
      <w:r w:rsidR="00B826BA">
        <w:rPr>
          <w:rFonts w:ascii="Roboto" w:hAnsi="Roboto"/>
          <w:sz w:val="22"/>
          <w:szCs w:val="22"/>
        </w:rPr>
        <w:t xml:space="preserve"> most common</w:t>
      </w:r>
      <w:r w:rsidR="00B826BA">
        <w:rPr>
          <w:rFonts w:ascii="Roboto" w:hAnsi="Roboto"/>
          <w:sz w:val="22"/>
          <w:szCs w:val="22"/>
        </w:rPr>
        <w:t xml:space="preserve"> event-pairs</w:t>
      </w:r>
      <w:r w:rsidR="00B826BA">
        <w:rPr>
          <w:rFonts w:ascii="Roboto" w:hAnsi="Roboto"/>
          <w:sz w:val="22"/>
          <w:szCs w:val="22"/>
        </w:rPr>
        <w:t>,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w:t>
      </w:r>
      <w:r w:rsidR="00021CE6">
        <w:rPr>
          <w:rFonts w:ascii="Roboto" w:hAnsi="Roboto"/>
          <w:sz w:val="22"/>
          <w:szCs w:val="22"/>
        </w:rPr>
        <w:t xml:space="preserve"> patients shared</w:t>
      </w:r>
      <w:r w:rsidR="00B71340">
        <w:rPr>
          <w:rFonts w:ascii="Roboto" w:hAnsi="Roboto"/>
          <w:sz w:val="22"/>
          <w:szCs w:val="22"/>
        </w:rPr>
        <w:t xml:space="preserve"> </w:t>
      </w:r>
      <w:r w:rsidR="00021CE6">
        <w:rPr>
          <w:rFonts w:ascii="Roboto" w:hAnsi="Roboto"/>
          <w:sz w:val="22"/>
          <w:szCs w:val="22"/>
        </w:rPr>
        <w:t>f</w:t>
      </w:r>
      <w:r w:rsidR="00021CE6">
        <w:rPr>
          <w:rFonts w:ascii="Roboto" w:hAnsi="Roboto"/>
          <w:sz w:val="22"/>
          <w:szCs w:val="22"/>
        </w:rPr>
        <w:t xml:space="preserve">our </w:t>
      </w:r>
      <w:r w:rsidR="00021CE6">
        <w:rPr>
          <w:rFonts w:ascii="Roboto" w:hAnsi="Roboto"/>
          <w:sz w:val="22"/>
          <w:szCs w:val="22"/>
        </w:rPr>
        <w:t xml:space="preserve">of </w:t>
      </w:r>
      <w:r w:rsidR="00021CE6">
        <w:rPr>
          <w:rFonts w:ascii="Roboto" w:hAnsi="Roboto"/>
          <w:sz w:val="22"/>
          <w:szCs w:val="22"/>
        </w:rPr>
        <w:t>the 10 most common directional feature-triplets</w:t>
      </w:r>
      <w:r w:rsidR="00021CE6">
        <w:rPr>
          <w:rFonts w:ascii="Roboto" w:hAnsi="Roboto"/>
          <w:sz w:val="22"/>
          <w:szCs w:val="22"/>
        </w:rPr>
        <w:t xml:space="preserve">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However,</w:t>
      </w:r>
      <w:r w:rsidR="00021CE6">
        <w:rPr>
          <w:rFonts w:ascii="Roboto" w:hAnsi="Roboto"/>
          <w:sz w:val="22"/>
          <w:szCs w:val="22"/>
        </w:rPr>
        <w:t xml:space="preserve">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w:t>
      </w:r>
      <w:r w:rsidR="004C4706">
        <w:rPr>
          <w:rFonts w:ascii="Roboto" w:hAnsi="Roboto"/>
          <w:sz w:val="22"/>
          <w:szCs w:val="22"/>
        </w:rPr>
        <w:t xml:space="preserve">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DB6D77"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w:t>
      </w:r>
      <w:r w:rsidR="00B215FC">
        <w:rPr>
          <w:rFonts w:ascii="Roboto" w:hAnsi="Roboto"/>
          <w:sz w:val="22"/>
          <w:szCs w:val="22"/>
        </w:rPr>
        <w:lastRenderedPageBreak/>
        <w:t xml:space="preserve">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and</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Pr>
                <w:rFonts w:ascii="Roboto" w:eastAsia="Helvetica" w:hAnsi="Roboto"/>
                <w:bCs/>
                <w:color w:val="000000"/>
                <w:sz w:val="22"/>
                <w:szCs w:val="22"/>
              </w:rPr>
              <w:t>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2C1AB4" w:rsidRPr="007401B1" w:rsidRDefault="002C1AB4" w:rsidP="007401B1">
      <w:pPr>
        <w:tabs>
          <w:tab w:val="left" w:pos="2650"/>
        </w:tabs>
        <w:spacing w:line="480" w:lineRule="auto"/>
        <w:rPr>
          <w:rFonts w:ascii="Roboto" w:hAnsi="Roboto"/>
          <w:color w:val="000000"/>
        </w:rPr>
      </w:pPr>
      <w:r>
        <w:rPr>
          <w:rFonts w:ascii="Roboto" w:hAnsi="Roboto"/>
          <w:noProof/>
          <w:color w:val="000000"/>
          <w14:ligatures w14:val="standardContextual"/>
        </w:rPr>
        <w:drawing>
          <wp:inline distT="0" distB="0" distL="0" distR="0">
            <wp:extent cx="6058535" cy="4848860"/>
            <wp:effectExtent l="0" t="0" r="0" b="2540"/>
            <wp:docPr id="36266363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3632" name="Billede 3626636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5206314" cy="6770227"/>
            <wp:effectExtent l="0" t="0" r="127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7428" cy="681068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08357F"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3548352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527" name="Billede 9354835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E754A" w:rsidP="001D711A">
      <w:pPr>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3529351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5147" name="Billede 3529351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12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the other </w:t>
      </w:r>
      <w:r w:rsidR="00D5141C" w:rsidRPr="00FD4F8B">
        <w:rPr>
          <w:rFonts w:ascii="Roboto" w:hAnsi="Roboto"/>
          <w:sz w:val="22"/>
          <w:szCs w:val="22"/>
        </w:rPr>
        <w:t>features</w:t>
      </w:r>
      <w:r w:rsidRPr="00FD4F8B">
        <w:rPr>
          <w:rFonts w:ascii="Roboto" w:hAnsi="Roboto"/>
          <w:sz w:val="22"/>
          <w:szCs w:val="22"/>
        </w:rPr>
        <w:t xml:space="preserve"> (y-axis) at the time of diagnosis. Only relative risk-ratios larger than 1 with a p-value of &lt;0.00035 are shown in text (corresponding to a p &lt;0.05 after Bonferroni correction</w:t>
      </w:r>
      <w:r w:rsidR="00EE68C0" w:rsidRPr="00FD4F8B">
        <w:rPr>
          <w:rFonts w:ascii="Roboto" w:hAnsi="Roboto"/>
          <w:sz w:val="22"/>
          <w:szCs w:val="22"/>
        </w:rPr>
        <w:t xml:space="preserve"> for multiple testing</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E66BD0">
      <w:pPr>
        <w:rPr>
          <w:rFonts w:ascii="Roboto" w:hAnsi="Roboto"/>
          <w:b/>
          <w:bCs/>
        </w:rPr>
      </w:pPr>
      <w:r>
        <w:rPr>
          <w:rFonts w:ascii="Roboto" w:hAnsi="Roboto"/>
          <w:b/>
          <w:bCs/>
          <w:noProof/>
          <w14:ligatures w14:val="standardContextual"/>
        </w:rPr>
        <w:drawing>
          <wp:inline distT="0" distB="0" distL="0" distR="0">
            <wp:extent cx="5528945" cy="7189773"/>
            <wp:effectExtent l="0" t="0" r="0" b="0"/>
            <wp:docPr id="157402464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4648" name="Billede 15740246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9461" cy="7203448"/>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w:t>
      </w:r>
      <w:r>
        <w:rPr>
          <w:rFonts w:ascii="Roboto" w:hAnsi="Roboto"/>
          <w:b/>
          <w:bCs/>
        </w:rPr>
        <w:t xml:space="preserve">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303B" w:rsidRDefault="0019303B">
      <w:r>
        <w:separator/>
      </w:r>
    </w:p>
  </w:endnote>
  <w:endnote w:type="continuationSeparator" w:id="0">
    <w:p w:rsidR="0019303B" w:rsidRDefault="0019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303B" w:rsidRDefault="0019303B">
      <w:r>
        <w:separator/>
      </w:r>
    </w:p>
  </w:footnote>
  <w:footnote w:type="continuationSeparator" w:id="0">
    <w:p w:rsidR="0019303B" w:rsidRDefault="0019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732F"/>
    <w:rsid w:val="00021CE6"/>
    <w:rsid w:val="00044362"/>
    <w:rsid w:val="00045C43"/>
    <w:rsid w:val="00045FF8"/>
    <w:rsid w:val="00056EEB"/>
    <w:rsid w:val="00066095"/>
    <w:rsid w:val="0008357F"/>
    <w:rsid w:val="000B140C"/>
    <w:rsid w:val="000B753D"/>
    <w:rsid w:val="000E754A"/>
    <w:rsid w:val="000F7E82"/>
    <w:rsid w:val="0013085D"/>
    <w:rsid w:val="00167E21"/>
    <w:rsid w:val="0018036F"/>
    <w:rsid w:val="00190371"/>
    <w:rsid w:val="0019303B"/>
    <w:rsid w:val="00193C32"/>
    <w:rsid w:val="001B3DE8"/>
    <w:rsid w:val="001D711A"/>
    <w:rsid w:val="001E5A55"/>
    <w:rsid w:val="001E7F65"/>
    <w:rsid w:val="0020425B"/>
    <w:rsid w:val="00226DDB"/>
    <w:rsid w:val="0023131F"/>
    <w:rsid w:val="002823F4"/>
    <w:rsid w:val="002970A1"/>
    <w:rsid w:val="002A2493"/>
    <w:rsid w:val="002B10D0"/>
    <w:rsid w:val="002B3BD2"/>
    <w:rsid w:val="002B6640"/>
    <w:rsid w:val="002C1AB4"/>
    <w:rsid w:val="002C6DC5"/>
    <w:rsid w:val="002C7D53"/>
    <w:rsid w:val="00301B34"/>
    <w:rsid w:val="003157B8"/>
    <w:rsid w:val="00317FF7"/>
    <w:rsid w:val="00350333"/>
    <w:rsid w:val="00351DC9"/>
    <w:rsid w:val="0037016C"/>
    <w:rsid w:val="00370E07"/>
    <w:rsid w:val="0039001D"/>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217B8"/>
    <w:rsid w:val="005307F4"/>
    <w:rsid w:val="00535BD8"/>
    <w:rsid w:val="00556B72"/>
    <w:rsid w:val="00575C41"/>
    <w:rsid w:val="00580470"/>
    <w:rsid w:val="005B164B"/>
    <w:rsid w:val="005D6489"/>
    <w:rsid w:val="005E755E"/>
    <w:rsid w:val="005F2993"/>
    <w:rsid w:val="00625C27"/>
    <w:rsid w:val="00632C1C"/>
    <w:rsid w:val="006368C7"/>
    <w:rsid w:val="0064270F"/>
    <w:rsid w:val="00653619"/>
    <w:rsid w:val="006645EA"/>
    <w:rsid w:val="00667385"/>
    <w:rsid w:val="00696771"/>
    <w:rsid w:val="006A67A7"/>
    <w:rsid w:val="006F102D"/>
    <w:rsid w:val="00711E23"/>
    <w:rsid w:val="007401B1"/>
    <w:rsid w:val="007B1E2E"/>
    <w:rsid w:val="007C6E46"/>
    <w:rsid w:val="007C7784"/>
    <w:rsid w:val="007F100A"/>
    <w:rsid w:val="00801D10"/>
    <w:rsid w:val="00832D41"/>
    <w:rsid w:val="008B59F9"/>
    <w:rsid w:val="008C7B68"/>
    <w:rsid w:val="008D55D0"/>
    <w:rsid w:val="0090368F"/>
    <w:rsid w:val="0099298A"/>
    <w:rsid w:val="00993A56"/>
    <w:rsid w:val="009C7FDC"/>
    <w:rsid w:val="009E16F1"/>
    <w:rsid w:val="00AC26B8"/>
    <w:rsid w:val="00AC5E31"/>
    <w:rsid w:val="00AC7B4E"/>
    <w:rsid w:val="00AE167C"/>
    <w:rsid w:val="00AF0B6D"/>
    <w:rsid w:val="00B136D1"/>
    <w:rsid w:val="00B14185"/>
    <w:rsid w:val="00B215FC"/>
    <w:rsid w:val="00B26E80"/>
    <w:rsid w:val="00B60920"/>
    <w:rsid w:val="00B71340"/>
    <w:rsid w:val="00B71E8E"/>
    <w:rsid w:val="00B826BA"/>
    <w:rsid w:val="00B865B0"/>
    <w:rsid w:val="00B907DF"/>
    <w:rsid w:val="00BA44FB"/>
    <w:rsid w:val="00BB098E"/>
    <w:rsid w:val="00BB6553"/>
    <w:rsid w:val="00BE2D5C"/>
    <w:rsid w:val="00BE445B"/>
    <w:rsid w:val="00BF182A"/>
    <w:rsid w:val="00C113BB"/>
    <w:rsid w:val="00C114B4"/>
    <w:rsid w:val="00C11D6C"/>
    <w:rsid w:val="00C21997"/>
    <w:rsid w:val="00CA4002"/>
    <w:rsid w:val="00CA7329"/>
    <w:rsid w:val="00CB59D1"/>
    <w:rsid w:val="00CC68F6"/>
    <w:rsid w:val="00CD1602"/>
    <w:rsid w:val="00CF5CE8"/>
    <w:rsid w:val="00D11238"/>
    <w:rsid w:val="00D21631"/>
    <w:rsid w:val="00D3206F"/>
    <w:rsid w:val="00D50E7D"/>
    <w:rsid w:val="00D5141C"/>
    <w:rsid w:val="00D5159C"/>
    <w:rsid w:val="00D57B5A"/>
    <w:rsid w:val="00D7731C"/>
    <w:rsid w:val="00DA50F5"/>
    <w:rsid w:val="00DB6D77"/>
    <w:rsid w:val="00DE0329"/>
    <w:rsid w:val="00DF1022"/>
    <w:rsid w:val="00E20A44"/>
    <w:rsid w:val="00E41B5A"/>
    <w:rsid w:val="00E610EA"/>
    <w:rsid w:val="00E66BD0"/>
    <w:rsid w:val="00E92720"/>
    <w:rsid w:val="00EA5AC4"/>
    <w:rsid w:val="00EA6D3E"/>
    <w:rsid w:val="00EE68C0"/>
    <w:rsid w:val="00F14A52"/>
    <w:rsid w:val="00F15144"/>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C6DFB"/>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footer" Target="footer4.xml"/><Relationship Id="rId30"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36</Pages>
  <Words>12098</Words>
  <Characters>73798</Characters>
  <Application>Microsoft Office Word</Application>
  <DocSecurity>0</DocSecurity>
  <Lines>614</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7</cp:revision>
  <dcterms:created xsi:type="dcterms:W3CDTF">2023-05-03T14:41:00Z</dcterms:created>
  <dcterms:modified xsi:type="dcterms:W3CDTF">2023-05-05T18:53:00Z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